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A1" w:rsidRPr="00DA44A1" w:rsidRDefault="00DA44A1" w:rsidP="00DA44A1">
      <w:pPr>
        <w:spacing w:after="0" w:line="450" w:lineRule="atLeast"/>
        <w:textAlignment w:val="baseline"/>
        <w:outlineLvl w:val="1"/>
        <w:rPr>
          <w:rFonts w:ascii="Arial" w:eastAsia="Times New Roman" w:hAnsi="Arial" w:cs="Arial"/>
          <w:color w:val="555555"/>
          <w:sz w:val="36"/>
          <w:szCs w:val="36"/>
          <w:lang w:eastAsia="uk-UA"/>
        </w:rPr>
      </w:pPr>
      <w:proofErr w:type="spellStart"/>
      <w:r w:rsidRPr="00DA44A1">
        <w:rPr>
          <w:rFonts w:ascii="Arial" w:eastAsia="Times New Roman" w:hAnsi="Arial" w:cs="Arial"/>
          <w:color w:val="555555"/>
          <w:sz w:val="36"/>
          <w:szCs w:val="36"/>
          <w:lang w:eastAsia="uk-UA"/>
        </w:rPr>
        <w:t>Офтальмол</w:t>
      </w:r>
      <w:proofErr w:type="spellEnd"/>
      <w:r w:rsidRPr="00DA44A1">
        <w:rPr>
          <w:rFonts w:ascii="Arial" w:eastAsia="Times New Roman" w:hAnsi="Arial" w:cs="Arial"/>
          <w:color w:val="555555"/>
          <w:sz w:val="36"/>
          <w:szCs w:val="36"/>
          <w:lang w:eastAsia="uk-UA"/>
        </w:rPr>
        <w:t xml:space="preserve">. </w:t>
      </w:r>
      <w:proofErr w:type="spellStart"/>
      <w:r w:rsidRPr="00DA44A1">
        <w:rPr>
          <w:rFonts w:ascii="Arial" w:eastAsia="Times New Roman" w:hAnsi="Arial" w:cs="Arial"/>
          <w:color w:val="555555"/>
          <w:sz w:val="36"/>
          <w:szCs w:val="36"/>
          <w:lang w:eastAsia="uk-UA"/>
        </w:rPr>
        <w:t>журн</w:t>
      </w:r>
      <w:proofErr w:type="spellEnd"/>
      <w:r w:rsidRPr="00DA44A1">
        <w:rPr>
          <w:rFonts w:ascii="Arial" w:eastAsia="Times New Roman" w:hAnsi="Arial" w:cs="Arial"/>
          <w:color w:val="555555"/>
          <w:sz w:val="36"/>
          <w:szCs w:val="36"/>
          <w:lang w:eastAsia="uk-UA"/>
        </w:rPr>
        <w:t>. — 2021. — № 2. — С. 23-30.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УДК 617.753.2-06:617.741-004.1]-089.243-036.8</w:t>
      </w:r>
    </w:p>
    <w:p w:rsidR="00DA44A1" w:rsidRPr="00DA44A1" w:rsidRDefault="00DA44A1" w:rsidP="00DA44A1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hyperlink r:id="rId4" w:history="1">
        <w:r w:rsidRPr="00DA44A1">
          <w:rPr>
            <w:rFonts w:ascii="Tahoma" w:eastAsia="Times New Roman" w:hAnsi="Tahoma" w:cs="Tahoma"/>
            <w:color w:val="00678D"/>
            <w:sz w:val="20"/>
            <w:szCs w:val="20"/>
            <w:u w:val="single"/>
            <w:lang w:eastAsia="uk-UA"/>
          </w:rPr>
          <w:t>http://doi.org/10.31288/oftalmolzh202122330</w:t>
        </w:r>
      </w:hyperlink>
    </w:p>
    <w:p w:rsidR="00DA44A1" w:rsidRPr="00DA44A1" w:rsidRDefault="00DA44A1" w:rsidP="00DA44A1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Порівняльний аналіз ефективності імплантації </w:t>
      </w:r>
      <w:proofErr w:type="spellStart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>моно</w:t>
      </w:r>
      <w:proofErr w:type="spellEnd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- та </w:t>
      </w:r>
      <w:proofErr w:type="spellStart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>мультифокальних</w:t>
      </w:r>
      <w:proofErr w:type="spellEnd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>інтраокулярних</w:t>
      </w:r>
      <w:proofErr w:type="spellEnd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 лінз при </w:t>
      </w:r>
      <w:proofErr w:type="spellStart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>факоемульсифікації</w:t>
      </w:r>
      <w:proofErr w:type="spellEnd"/>
      <w:r w:rsidRPr="00DA44A1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 xml:space="preserve"> катаракти на очах з міопією високого ступеня 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Н. Г. </w:t>
      </w:r>
      <w:proofErr w:type="spellStart"/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Завгородня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1, 3, д-р мед. наук, професор; </w:t>
      </w: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Н. В. Михайленко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1, 3, аспірант; </w:t>
      </w: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Л. Е. </w:t>
      </w:r>
      <w:proofErr w:type="spellStart"/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Саржевська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1,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наук; </w:t>
      </w: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Т. С. </w:t>
      </w:r>
      <w:proofErr w:type="spellStart"/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Завгородня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2, 3,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наук; </w:t>
      </w: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А. С. </w:t>
      </w:r>
      <w:proofErr w:type="spellStart"/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Саржевський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</w:t>
      </w:r>
    </w:p>
    <w:p w:rsidR="00DA44A1" w:rsidRPr="00DA44A1" w:rsidRDefault="00DA44A1" w:rsidP="00DA44A1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1 Запорізький державний медичний університет, Запоріжжя (Україна)</w:t>
      </w:r>
    </w:p>
    <w:p w:rsidR="00DA44A1" w:rsidRPr="00DA44A1" w:rsidRDefault="00DA44A1" w:rsidP="00DA44A1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2 Національна медична академія післядипломної освіти ім. П.Л.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Шупика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, Київ (Україна)</w:t>
      </w:r>
    </w:p>
    <w:p w:rsidR="00DA44A1" w:rsidRPr="00DA44A1" w:rsidRDefault="00DA44A1" w:rsidP="00DA44A1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3 Клініка сучасної офтальмології «ВІЗУС», Запоріжжя (Україна)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E-</w:t>
      </w:r>
      <w:proofErr w:type="spellStart"/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mail</w:t>
      </w:r>
      <w:proofErr w:type="spellEnd"/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: 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  <w:hyperlink r:id="rId5" w:history="1">
        <w:r w:rsidRPr="00DA44A1">
          <w:rPr>
            <w:rFonts w:ascii="Tahoma" w:eastAsia="Times New Roman" w:hAnsi="Tahoma" w:cs="Tahoma"/>
            <w:color w:val="00678D"/>
            <w:sz w:val="20"/>
            <w:szCs w:val="20"/>
            <w:u w:val="single"/>
            <w:lang w:eastAsia="uk-UA"/>
          </w:rPr>
          <w:t>doc.mikhaylenko89@gmail.com</w:t>
        </w:r>
      </w:hyperlink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Verdana" w:eastAsia="Times New Roman" w:hAnsi="Verdana" w:cs="Tahoma"/>
          <w:b/>
          <w:bCs/>
          <w:color w:val="333333"/>
          <w:sz w:val="16"/>
          <w:szCs w:val="16"/>
          <w:bdr w:val="none" w:sz="0" w:space="0" w:color="auto" w:frame="1"/>
          <w:lang w:eastAsia="uk-UA"/>
        </w:rPr>
        <w:t>ЯК ЦИТУВАТИ: 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Завгородня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Н. Г. Порівняльний аналіз ефективності імплантації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моно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- та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мультифокальних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інтраокулярних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лінз при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факоемульсифікації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катаракти на очах з міопією високого ступеня /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Н.Г.Завгородня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,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Н.В.Михайленко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,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Л.Е.Саржевська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,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Т.С.Завгородня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, А.С.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Саржевський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 //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Офтальмол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. </w:t>
      </w:r>
      <w:proofErr w:type="spellStart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журн</w:t>
      </w:r>
      <w:proofErr w:type="spellEnd"/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. — 2021. — № 2. — С. 23-30.  </w:t>
      </w:r>
      <w:hyperlink r:id="rId6" w:history="1">
        <w:r w:rsidRPr="00DA44A1">
          <w:rPr>
            <w:rFonts w:ascii="Verdana" w:eastAsia="Times New Roman" w:hAnsi="Verdana" w:cs="Tahoma"/>
            <w:color w:val="00678D"/>
            <w:sz w:val="16"/>
            <w:szCs w:val="16"/>
            <w:u w:val="single"/>
            <w:bdr w:val="none" w:sz="0" w:space="0" w:color="auto" w:frame="1"/>
            <w:lang w:eastAsia="uk-UA"/>
          </w:rPr>
          <w:t>http://doi.org/10.31288/oftalmolzh202122330</w:t>
        </w:r>
      </w:hyperlink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br/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Актуальність.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Міопія високого ступеня є ускладнюючим фактором при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факоемульсифкації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катаракти, що впливає на досягнення високих зорових результатів. Ведуться дискусії про доцільність імплантації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мультифокальних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інтраокулярних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лінз при такій суміжній патології. Такі сумніви зумовлені частими ускладненнями на очному дні, які не завжди можливо виявити на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доопераційному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етапі та неможливістю точного прогнозування показників зору після операції. 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Мета: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визначити доцільність імплантації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мультифокальних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інтраокулярних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лінз при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факоемульсифікації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катаракти на очах з міопією високого ступеню шляхом проведення порівняльного аналізу результатів зорових функцій при імплантації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монофокальних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та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мультифокальних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штучних кришталиків. 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Матеріал та методи.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Проведено аналіз результатів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факоемульсифікації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катаракти (ФЕК) з імплантацією ІОЛ у 55 пацієнтів (93 ока) з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катарактою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та міопією високого ступеню. Всі досліджувані очі розподілялися на 2 групи, в залежності від виду імплантованого штучного кришталика: перша група (група А) – 22 пацієнта (38 очей), яким було імплантовано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ІОЛ; друга група (група Б) – 32 пацієнта (55 очей) з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катарактою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та міопією високого ступеня, яким була імплантована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монофокальна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ІОЛ. Перед операцією всім пацієнтам було проведено офтальмологічне обстеження: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авторефрактометрія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візометрія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периметрія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тест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Амслера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фосфен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-тест,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тонометрія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біомікроскопія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пряма офтальмоскопія, огляд сітківки за допомогою лінзи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Гольдмана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ультразвукове А-та В-сканування, оптична біометрія,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ендотеліальна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мікроскопія. Для розрахунку оптичної сили ІОЛ використовували формули SRK-T і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Haigis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 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Результати.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Через місяць після ФЕК підвищення гостроти зору зафіксовано в обох групах. В групі А вона підвищилась на 76% і досягла 0,8±0,03 без корекції та 0,9±0,02 (покращення на 86%) з середньою корекцією Sph-0,06±0,08Д, Cyl-0,59±0,15Д. В групі Б середня гострота зору без корекції після операції підвищилась на 49% (0,55±0,02) та на 78% з корекцією (0,84±0,02) з середньою корекцією: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Sph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-0,85±0,11 Д,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Cyl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-0,94±0,12 Д. Досягнуті результати залишались такими ж протягом 6 місяців. Сферичний компонент після ФЕК + ІОЛ зменшився на 12,88±0,2Д і склав -0,22±0,11Д в групі А, в той час як циліндричний еквівалент зменшився на 1,0±0,1Д і склав -0,8±0,1Д. В групі Б сферичний еквівалент зменшився на 12,63±0,12Д і через 1 місяць після операції складав -0,84±0,02Д, наближаючись до розрахункового значення, а циліндричний компонент статистично не змінився. Гострота зору на очах з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мультифокальною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 зблизька становила 0,9±0,1, а очах з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монофокальною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 – в межах 0,6±0,1. Аберації виявляли в обох групах, але в групі А, де були імплантовані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ІОЛ, вони були значно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меньші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ніж в групі в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монофокальними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Висновки.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Після ФЕК на очах з міопією високого ступеня приріст гостроти зору без корекції вище на очах, де імплантувалися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мультифокані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лінзи (76%), ніж на очах з імплантованими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монофокальними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 (49%). Гострота зору на близькій відстані на 33% вище на очах з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мультифокальними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ІОЛ, ніж на очах з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монофокальними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ІОЛ, що значно покращує якість життя пацієнтів і дозволяє позбутися окулярів. Одержані дані свідчать про те, що висока міопія не є протипоказанням для імплантації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мультифокальних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штучних кришталиків. 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Ключові слова:</w:t>
      </w: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  <w:bookmarkStart w:id="0" w:name="_GoBack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катаракта,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факоемульсифікація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монофокальні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інтраокулярні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лінзи,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мультифокальні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інтраокулярні</w:t>
      </w:r>
      <w:proofErr w:type="spellEnd"/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лінзи, міопія високого ступеню</w:t>
      </w:r>
    </w:p>
    <w:bookmarkEnd w:id="0"/>
    <w:p w:rsidR="00DA44A1" w:rsidRPr="00DA44A1" w:rsidRDefault="00DA44A1" w:rsidP="00DA44A1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lastRenderedPageBreak/>
        <w:t> 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Література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1.Резникова Е. В.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Факоэмульсификация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при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миопии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высокой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степени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: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автореф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дис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на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соискание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научн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степени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канд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мед. наук : спец. 14.00.08 «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Глазные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болезни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» / Е. В.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Резникова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Москва, 2005. – 23 с.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2.Shwu-Jiuan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Sheu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Luo-Ping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Ger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Wan-Ling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Ho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Late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increased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risk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retinal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detachment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after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cataract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extraction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Am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J.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Ophthalmol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2010. –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149 (1). – P.113-119.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3.Tajunisah I.,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Reddy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S.C.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Dropped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nucleus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following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phacoemulsification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cataract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surgery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Med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J.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Malaysia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2007. –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62 (5). – P.364-367.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4.Шухаев С.В.,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Кириллова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О.В.,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Загорулько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А.М.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Сравнительная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оценка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попадания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рефракцию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цели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у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трех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монофокальных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гибких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интраокулярных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линз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Офтальмохирургия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2018. – №1. – С. 53-58.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5.Малюгин Б.Э.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Исторические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аспекты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и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современное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состояние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проблемы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мультифокальной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интраокулярной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коррекции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 Б.Э.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Малюгин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Т.А. Морозова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Офтальмохирургия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2004. – № 3. – С. 23-29.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6.Диковская, М. А.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Положение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дифракционно-рефракционной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линзы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МИОЛ-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Аккорд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капсульном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мешке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при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имплантации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внутрикапсульного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кольца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 М. А.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Диковская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И.А.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Искаков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Высокие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технологии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офтальмологии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: сб. науч.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трудов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Краснодар, 2008. – С. 36-38.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7.Искаков, И.А.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Степень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зрачковой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независимости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у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разных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конструкций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дифракционно-рефракционных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ИОЛ / И.А.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Искаков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И.Б. Дружинин, И.М. Морозова [и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др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.]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Офтальмология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стран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Причерноморья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: сб. науч.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трудов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Краснодар, 2006. – С. 114-117.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8.Alvarez-Rementeria L.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Pseudoaccomodating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intraocular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lens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implantation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patient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with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irregular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nonreactive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puppies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Alvarez-Rementeria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R.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Montes-Mico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J.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Cataract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Refract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2007. – Vol.33. – №10. – P. 1823-1825.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9.Hayashi K.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Correlation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between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Pupillary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Size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Intraocular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Lens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Decentration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Visual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Acuity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a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Zonal-progressive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Multifocal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Lens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a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Monofocal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Lens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 K.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Hayashi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H.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Hayashi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F.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Nakao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F.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Hayashi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Ophthalmology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2001. – Vol.108 (11). – P. 2011-2017.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10.Бирич Т.А., Федоров Ю.Г.,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Чекина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А.Ю.,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Моторный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В.В.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Определение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контрастной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чувствительности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глаза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с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помощью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таблицы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контрастных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оптотипов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методом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экспресс-диагностики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инструкция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по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применению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(патент № 9853)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Минск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, 2008.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11.Морозова Т.А.,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Керимов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Т.З.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Современные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подходы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к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анализу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дисфотопсий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оценка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субъективной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удовлетворенности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и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очковой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независимости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на фоне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мультифокальной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интраокулярной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коррекции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Обзор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Вестник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РАМН. – 2017. – Т.72 (5). – С. 355-364.</w:t>
      </w:r>
    </w:p>
    <w:p w:rsidR="00DA44A1" w:rsidRPr="00DA44A1" w:rsidRDefault="00DA44A1" w:rsidP="00DA44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12.Тур Е.В.,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Поздеева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В.А.,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Сорокина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И.А., Бойко М.В.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Рефракционные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результаты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имплантации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мультифокальных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интраокулярных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линз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у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пациентов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с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миопией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высокой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степени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и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амблиопией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Современные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технологии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в </w:t>
      </w:r>
      <w:proofErr w:type="spellStart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офтальмологии</w:t>
      </w:r>
      <w:proofErr w:type="spellEnd"/>
      <w:r w:rsidRPr="00DA44A1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–2018. – № 5. – С. 243-245.</w:t>
      </w:r>
    </w:p>
    <w:p w:rsidR="00DA44A1" w:rsidRPr="00DA44A1" w:rsidRDefault="00DA44A1" w:rsidP="00DA44A1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DA44A1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Автори засвідчують про відсутність конфлікту інтересів, які б могли вплинути на їх думку стосовно предмету чи матеріалів, описаних та обговорених в даному рукопису. </w:t>
      </w:r>
    </w:p>
    <w:p w:rsidR="00683102" w:rsidRPr="00DA44A1" w:rsidRDefault="00DA44A1">
      <w:pPr>
        <w:rPr>
          <w:u w:val="single"/>
        </w:rPr>
      </w:pPr>
      <w:r w:rsidRPr="00DA44A1">
        <w:rPr>
          <w:u w:val="single"/>
        </w:rPr>
        <w:t>Електронне посилання на сайт журналу:</w:t>
      </w:r>
    </w:p>
    <w:p w:rsidR="00DA44A1" w:rsidRDefault="00DA44A1">
      <w:r w:rsidRPr="00DA44A1">
        <w:t>http://www.ozhurnal.com/ru/archive/2021/2</w:t>
      </w:r>
    </w:p>
    <w:sectPr w:rsidR="00DA4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A1"/>
    <w:rsid w:val="00683102"/>
    <w:rsid w:val="00A966A1"/>
    <w:rsid w:val="00D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5566"/>
  <w15:chartTrackingRefBased/>
  <w15:docId w15:val="{CE5918A4-3C6C-4BF8-887E-8CA4C9A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31288/oftalmolzh202122330" TargetMode="External"/><Relationship Id="rId5" Type="http://schemas.openxmlformats.org/officeDocument/2006/relationships/hyperlink" Target="mailto:doc.mikhaylenko89@gmail.com" TargetMode="External"/><Relationship Id="rId4" Type="http://schemas.openxmlformats.org/officeDocument/2006/relationships/hyperlink" Target="http://doi.org/10.31288/oftalmolzh202122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4794</Words>
  <Characters>2734</Characters>
  <Application>Microsoft Office Word</Application>
  <DocSecurity>0</DocSecurity>
  <Lines>22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2021-11-09T22:33:00Z</dcterms:created>
  <dcterms:modified xsi:type="dcterms:W3CDTF">2021-11-09T22:38:00Z</dcterms:modified>
</cp:coreProperties>
</file>