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b/>
          <w:bCs/>
          <w:color w:val="800000"/>
          <w:sz w:val="20"/>
          <w:szCs w:val="20"/>
          <w:bdr w:val="none" w:sz="0" w:space="0" w:color="auto" w:frame="1"/>
          <w:lang w:eastAsia="uk-UA"/>
        </w:rPr>
        <w:t xml:space="preserve">Моніторинг </w:t>
      </w:r>
      <w:proofErr w:type="spellStart"/>
      <w:r w:rsidRPr="00262711">
        <w:rPr>
          <w:rFonts w:ascii="Tahoma" w:eastAsia="Times New Roman" w:hAnsi="Tahoma" w:cs="Tahoma"/>
          <w:b/>
          <w:bCs/>
          <w:color w:val="800000"/>
          <w:sz w:val="20"/>
          <w:szCs w:val="20"/>
          <w:bdr w:val="none" w:sz="0" w:space="0" w:color="auto" w:frame="1"/>
          <w:lang w:eastAsia="uk-UA"/>
        </w:rPr>
        <w:t>матриксних</w:t>
      </w:r>
      <w:proofErr w:type="spellEnd"/>
      <w:r w:rsidRPr="00262711">
        <w:rPr>
          <w:rFonts w:ascii="Tahoma" w:eastAsia="Times New Roman" w:hAnsi="Tahoma" w:cs="Tahoma"/>
          <w:b/>
          <w:bCs/>
          <w:color w:val="8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b/>
          <w:bCs/>
          <w:color w:val="800000"/>
          <w:sz w:val="20"/>
          <w:szCs w:val="20"/>
          <w:bdr w:val="none" w:sz="0" w:space="0" w:color="auto" w:frame="1"/>
          <w:lang w:eastAsia="uk-UA"/>
        </w:rPr>
        <w:t>металопротеїназ</w:t>
      </w:r>
      <w:proofErr w:type="spellEnd"/>
      <w:r w:rsidRPr="00262711">
        <w:rPr>
          <w:rFonts w:ascii="Tahoma" w:eastAsia="Times New Roman" w:hAnsi="Tahoma" w:cs="Tahoma"/>
          <w:b/>
          <w:bCs/>
          <w:color w:val="800000"/>
          <w:sz w:val="20"/>
          <w:szCs w:val="20"/>
          <w:bdr w:val="none" w:sz="0" w:space="0" w:color="auto" w:frame="1"/>
          <w:lang w:eastAsia="uk-UA"/>
        </w:rPr>
        <w:t xml:space="preserve"> 2 і 9 в травматичних ранах допоміжного апарату ока</w:t>
      </w:r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О. В. Петренко</w:t>
      </w:r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1, д-р мед. наук, професор; </w:t>
      </w:r>
      <w:r w:rsidRPr="0026271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М. М. Дранко</w:t>
      </w:r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1, 2, лікар-офтальмолог, аспірант; </w:t>
      </w:r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В. В. Корнієнко</w:t>
      </w:r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 3, 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канд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. мед. наук, </w:t>
      </w:r>
      <w:r w:rsidRPr="0026271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Л. В. Грицай</w:t>
      </w:r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 2, 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канд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. мед. наук</w:t>
      </w:r>
    </w:p>
    <w:p w:rsidR="00262711" w:rsidRPr="00262711" w:rsidRDefault="00262711" w:rsidP="00262711">
      <w:pPr>
        <w:shd w:val="clear" w:color="auto" w:fill="FFFFFF"/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1 Національний університет охорони здоров’я України імені П. Л. 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Шупика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; Київ (Україна)</w:t>
      </w:r>
    </w:p>
    <w:p w:rsidR="00262711" w:rsidRPr="00262711" w:rsidRDefault="00262711" w:rsidP="00262711">
      <w:pPr>
        <w:shd w:val="clear" w:color="auto" w:fill="FFFFFF"/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2 Сумська обласна клінічна лікарня; Суми (Україна) </w:t>
      </w:r>
    </w:p>
    <w:p w:rsidR="00262711" w:rsidRPr="00262711" w:rsidRDefault="00262711" w:rsidP="00262711">
      <w:pPr>
        <w:shd w:val="clear" w:color="auto" w:fill="FFFFFF"/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2 Сумський державний 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університет,Медичний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інститут; Суми (Україна)</w:t>
      </w:r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E-</w:t>
      </w:r>
      <w:proofErr w:type="spellStart"/>
      <w:r w:rsidRPr="0026271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mail</w:t>
      </w:r>
      <w:proofErr w:type="spellEnd"/>
      <w:r w:rsidRPr="0026271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: </w:t>
      </w:r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</w:t>
      </w:r>
      <w:hyperlink r:id="rId4" w:history="1">
        <w:r w:rsidRPr="00262711">
          <w:rPr>
            <w:rFonts w:ascii="Tahoma" w:eastAsia="Times New Roman" w:hAnsi="Tahoma" w:cs="Tahoma"/>
            <w:color w:val="00678D"/>
            <w:sz w:val="20"/>
            <w:szCs w:val="20"/>
            <w:u w:val="single"/>
            <w:lang w:eastAsia="uk-UA"/>
          </w:rPr>
          <w:t>drankoma@ukr.net</w:t>
        </w:r>
      </w:hyperlink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Verdana" w:eastAsia="Times New Roman" w:hAnsi="Verdana" w:cs="Tahoma"/>
          <w:b/>
          <w:bCs/>
          <w:color w:val="333333"/>
          <w:sz w:val="16"/>
          <w:szCs w:val="16"/>
          <w:bdr w:val="none" w:sz="0" w:space="0" w:color="auto" w:frame="1"/>
          <w:lang w:eastAsia="uk-UA"/>
        </w:rPr>
        <w:t>ЯК ЦИТУВАТИ: </w:t>
      </w:r>
      <w:r w:rsidRPr="0026271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Петренко О. В. Моніторинг </w:t>
      </w:r>
      <w:proofErr w:type="spellStart"/>
      <w:r w:rsidRPr="0026271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матриксних</w:t>
      </w:r>
      <w:proofErr w:type="spellEnd"/>
      <w:r w:rsidRPr="0026271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металопротеїназ</w:t>
      </w:r>
      <w:proofErr w:type="spellEnd"/>
      <w:r w:rsidRPr="0026271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 2 і 9 в травматичних ранах допоміжного апарату ока / О. В. Петренко, М. М. Дранко, В. В. Корнієнко, Л. В.    Грицай //</w:t>
      </w:r>
      <w:proofErr w:type="spellStart"/>
      <w:r w:rsidRPr="0026271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Офтальмол</w:t>
      </w:r>
      <w:proofErr w:type="spellEnd"/>
      <w:r w:rsidRPr="0026271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. </w:t>
      </w:r>
      <w:proofErr w:type="spellStart"/>
      <w:r w:rsidRPr="0026271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журн</w:t>
      </w:r>
      <w:proofErr w:type="spellEnd"/>
      <w:r w:rsidRPr="0026271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. — 2021. — № 5. — С. 10-13.  </w:t>
      </w:r>
      <w:hyperlink r:id="rId5" w:history="1">
        <w:r w:rsidRPr="00262711">
          <w:rPr>
            <w:rFonts w:ascii="Verdana" w:eastAsia="Times New Roman" w:hAnsi="Verdana" w:cs="Tahoma"/>
            <w:color w:val="00678D"/>
            <w:sz w:val="16"/>
            <w:szCs w:val="16"/>
            <w:u w:val="single"/>
            <w:bdr w:val="none" w:sz="0" w:space="0" w:color="auto" w:frame="1"/>
            <w:lang w:eastAsia="uk-UA"/>
          </w:rPr>
          <w:t>http://doi.org/10.31288/oftalmolzh202151013</w:t>
        </w:r>
      </w:hyperlink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br/>
      </w:r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Актуальність.</w:t>
      </w:r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Матриксні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металопротеїнази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2 і 9 (ММП-2 і ММП-9) – це ензими, які приймають участь у багатьох фізіологічних та патологічних процесах, включаючи запалення та 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ангіогенез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, що є основою в 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ремоделюванні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та репарації тканин. Тривале запалення та повільне загоєння травматичних ран призводить до формування післяопераційних рубцевих деформацій. Моніторинг активності досліджуваних ферментів може бути 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біомаркером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загоєння посттравматичних ран допоміжного апарату ока (ДАО).</w:t>
      </w:r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Мета.</w:t>
      </w:r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Дослідити вміст ММП-2 і ММП-9 в посттравматичних ранах допоміжного апарату ока, їх рівень в тканинах в залежності від давності травми. </w:t>
      </w:r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Матеріал та методи.</w:t>
      </w:r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 Обстежено 60 пацієнтів з травматичними ранами ДАО різної давності (від одної години до трьох тижнів з моменту травми). Біопсію тканин брали під час хірургічної обробки ран з послідуючим заморожуванням. Дві групи дослідження: контрольна (здорові тканини, отримані в результаті проведення 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блефаропластики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) та основна (травмовані тканини). Рівні MMP-2 та MMP-9 оцінювали за допомогою 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імуноферментного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аналізу (ІФА). Після зчитування поглинання кожної 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мікролунки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на спектрофотометрі 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Thermo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Scientific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Multiskan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FC з використанням довжини хвилі 450 нм, розраховували середні значення поглинання для кожного з повторюваних стандартів та зразків. Результати обох груп порівнювали відносно оптичної щільності у відповідності до постановки експерименту за давністю травми.</w:t>
      </w:r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Результати.</w:t>
      </w:r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 Встановлено підвищення рівня ММП-2 і ММП-9 у 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біоматеріалах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з травматичних ран відносно контрольних зразків. За допомогою ІФА-систем виявлено, що пік експресії ММП-2 припадає на третю добу з моменту травми, перевищуючи показники контрольних зразків на 85%. З 7-ї і до 15-ї доби відмічається спад ММП-2 до показників близьких рівня першої доби (перевищує на 15%). З 15-ї до 21-ї доби знову спостерігається підвищення рівня ММП-2 на 35%. Показники експресії ММП-9 значно вищі, ніж у ММП-2. Пік активності ММП-9 припадає на четверту добу, перевищуючи показники контрольних зразків на 155%. З четвертої по сьому добу визначається спад показників, які перевищують вихідні на 85%. З 8-ї до 15-ї доби спостерігається знову їх експресія до 100% від контрольних показників, а потім знову йде поступовий спад до 21-ї доби. </w:t>
      </w:r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Висновки.</w:t>
      </w:r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 Дослідження 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матриксних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металопротеїназ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2 і 9 в травматичних ранах допоміжного апарату ока різної давності показало, що пік експресії ММП-2 припадає на третю добу з моменту травми, а ММП-9 – на четверту. Зниження рівня обох ензимів відмічається на сьому добу з послідуючими коливаннями. До 21-ї доби рівень ММП-2 та ММП-9 досягає контрольних показників.</w:t>
      </w:r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Ключові слова:</w:t>
      </w:r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матриксні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металопротеїнази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2 і 9, травматичні рани, загоєння ран, допоміжний апарат ока, </w:t>
      </w:r>
      <w:proofErr w:type="spellStart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імуноферментний</w:t>
      </w:r>
      <w:proofErr w:type="spellEnd"/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аналіз</w:t>
      </w:r>
    </w:p>
    <w:p w:rsidR="00262711" w:rsidRPr="00262711" w:rsidRDefault="00262711" w:rsidP="00262711">
      <w:pPr>
        <w:shd w:val="clear" w:color="auto" w:fill="FFFFFF"/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</w:t>
      </w:r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Література</w:t>
      </w:r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1.Петренко О. В. Особливості клініки та лікування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післятравматичних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дефектів допоміжного апарату ока / О. В. Петренко // Архів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офтальмологіі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України. – 2015. – Т. 3, № 2. – С. 38-43.</w:t>
      </w:r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2.Петренко О. М. Моніторинг перебігу ранового процесу у гнійних ранах / О. М. Петренко, Б. Г.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Безродний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, А. О. Тихомиров // Хірургія України. – 2014. – № 2. – С. 65-69.</w:t>
      </w:r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3.Петренко О. М. Зміни активності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матриксних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металопротеїназ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у хронічних ранах м’яких тканин у хворих на цукровий діабет при застосуванні вакуумної терапії / О. М. Петренко, А. О. Тихомиров, О. В. Петренко // Клінічна хірургія. – 2016. – № 6. – С. 58-60.</w:t>
      </w:r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4.Соколов В.А.,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Лихванцева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В.Г.,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Леванова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О.Н. и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др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Экспрессия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матриксных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металлопротеиназ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в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слезе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и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полиморфизм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гена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фактора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комплемента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Н (CFH) у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больных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первичной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открытоугольной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глаукомой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Медицинская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иммунология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– 2017. – Т.19, № 5. – С.547-556.</w:t>
      </w:r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5.Chamanga E.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Effectively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managing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wound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exudates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 E.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Chamanga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Br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J.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Commun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Nurs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– 2015. –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Suppl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Wound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Care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: S8, S10.</w:t>
      </w:r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lastRenderedPageBreak/>
        <w:t xml:space="preserve">6.Le N.T.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The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dual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personalities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of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matrix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metalloproteinases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in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inflammation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Front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Biosci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– 2007. – Vol.12. – Р.1475-1487.</w:t>
      </w:r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7.Nagase H.,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Visse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R.,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Murphy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G.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Structure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and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function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of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matrix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metalloproteinases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and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TIMPs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Cardiovascular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Research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– 2006. – Vol.69. – №3. – Р. 562-573.</w:t>
      </w:r>
    </w:p>
    <w:p w:rsidR="00262711" w:rsidRPr="00262711" w:rsidRDefault="00262711" w:rsidP="00262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8.Rohani M. G.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Matrix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remodeling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by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MMPs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during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wound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repair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 M.G.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Rohani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, W. C.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Parks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Matrix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Biol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– 2015. – </w:t>
      </w:r>
      <w:proofErr w:type="spellStart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Vol</w:t>
      </w:r>
      <w:proofErr w:type="spellEnd"/>
      <w:r w:rsidRPr="0026271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44-46. – P. 113-121.</w:t>
      </w:r>
    </w:p>
    <w:p w:rsidR="00262711" w:rsidRPr="00262711" w:rsidRDefault="00262711" w:rsidP="00262711">
      <w:pPr>
        <w:shd w:val="clear" w:color="auto" w:fill="FFFFFF"/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</w:t>
      </w:r>
    </w:p>
    <w:p w:rsidR="00262711" w:rsidRPr="00262711" w:rsidRDefault="00262711" w:rsidP="00262711">
      <w:pPr>
        <w:shd w:val="clear" w:color="auto" w:fill="FFFFFF"/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Подяка: Центру колективного користування науковим обладнанням Медичного інституту Сумського державного університету</w:t>
      </w:r>
    </w:p>
    <w:p w:rsidR="00262711" w:rsidRPr="00262711" w:rsidRDefault="00262711" w:rsidP="00262711">
      <w:pPr>
        <w:shd w:val="clear" w:color="auto" w:fill="FFFFFF"/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Джерело підтримки: Центр колективного користування науковим обладнанням Медичного інституту Сумського державного університету.</w:t>
      </w:r>
    </w:p>
    <w:p w:rsidR="00262711" w:rsidRPr="00262711" w:rsidRDefault="00262711" w:rsidP="00262711">
      <w:pPr>
        <w:shd w:val="clear" w:color="auto" w:fill="FFFFFF"/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26271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Конфлікт інтересів: засвідчуємо, що не маємо  жодного реального чи потенційного конфлікту інтересів (фінансового, персонального, професійного чи іншого), який би міг вплинути на нашу думку стосовно предмету чи матеріалів описаних та обговорених в даному рукописі. </w:t>
      </w:r>
    </w:p>
    <w:p w:rsidR="00683102" w:rsidRPr="00262711" w:rsidRDefault="00262711">
      <w:pPr>
        <w:rPr>
          <w:u w:val="single"/>
        </w:rPr>
      </w:pPr>
      <w:r w:rsidRPr="00262711">
        <w:rPr>
          <w:u w:val="single"/>
        </w:rPr>
        <w:t>Електронне посилання на сайт журналу:</w:t>
      </w:r>
    </w:p>
    <w:p w:rsidR="00262711" w:rsidRDefault="00262711">
      <w:r w:rsidRPr="00262711">
        <w:t>http://www.ozhurnal.com/ru/archive/2021/5</w:t>
      </w:r>
      <w:bookmarkStart w:id="0" w:name="_GoBack"/>
      <w:bookmarkEnd w:id="0"/>
    </w:p>
    <w:sectPr w:rsidR="002627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93"/>
    <w:rsid w:val="00262711"/>
    <w:rsid w:val="00404393"/>
    <w:rsid w:val="006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7C14"/>
  <w15:chartTrackingRefBased/>
  <w15:docId w15:val="{461C71B8-EE52-4615-87F1-4ACF8F63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i.org/10.31288/oftalmolzh202151013" TargetMode="External"/><Relationship Id="rId4" Type="http://schemas.openxmlformats.org/officeDocument/2006/relationships/hyperlink" Target="mailto:drankom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3565</Words>
  <Characters>2033</Characters>
  <Application>Microsoft Office Word</Application>
  <DocSecurity>0</DocSecurity>
  <Lines>16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2021-11-09T20:51:00Z</dcterms:created>
  <dcterms:modified xsi:type="dcterms:W3CDTF">2021-11-09T20:52:00Z</dcterms:modified>
</cp:coreProperties>
</file>