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5D" w:rsidRPr="0002665D" w:rsidRDefault="0002665D" w:rsidP="0002665D">
      <w:pPr>
        <w:shd w:val="clear" w:color="auto" w:fill="FFFFFF"/>
        <w:spacing w:after="60" w:line="240" w:lineRule="auto"/>
        <w:ind w:right="240"/>
        <w:outlineLvl w:val="2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</w:pP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нфаркт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міокарда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без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обструктивного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атеросклеротичного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ураження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коронарних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артерій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(MINOCA) —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науковий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інтерес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чи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 xml:space="preserve"> практична </w:t>
      </w:r>
      <w:proofErr w:type="spellStart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необхідність</w:t>
      </w:r>
      <w:proofErr w:type="spellEnd"/>
      <w:r w:rsidRPr="0002665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ru-RU"/>
        </w:rPr>
        <w:t>?</w:t>
      </w: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i/>
          <w:iCs/>
          <w:color w:val="111111"/>
          <w:sz w:val="19"/>
          <w:szCs w:val="19"/>
          <w:lang w:val="en-US" w:eastAsia="ru-RU"/>
        </w:rPr>
        <w:t>L. O. Tkachenko, O. A. Epantschintsev</w:t>
      </w:r>
      <w:proofErr w:type="spellStart"/>
      <w:r w:rsidRPr="0002665D">
        <w:rPr>
          <w:rFonts w:ascii="Segoe UI" w:eastAsia="Times New Roman" w:hAnsi="Segoe UI" w:cs="Segoe UI"/>
          <w:i/>
          <w:iCs/>
          <w:color w:val="111111"/>
          <w:sz w:val="19"/>
          <w:szCs w:val="19"/>
          <w:lang w:eastAsia="ru-RU"/>
        </w:rPr>
        <w:t>а</w:t>
      </w:r>
      <w:proofErr w:type="spellEnd"/>
      <w:r w:rsidRPr="0002665D">
        <w:rPr>
          <w:rFonts w:ascii="Segoe UI" w:eastAsia="Times New Roman" w:hAnsi="Segoe UI" w:cs="Segoe UI"/>
          <w:i/>
          <w:iCs/>
          <w:color w:val="111111"/>
          <w:sz w:val="19"/>
          <w:szCs w:val="19"/>
          <w:lang w:val="en-US" w:eastAsia="ru-RU"/>
        </w:rPr>
        <w:t>, M. V. Stan, S. M. Sagura</w:t>
      </w:r>
    </w:p>
    <w:p w:rsidR="0002665D" w:rsidRPr="0002665D" w:rsidRDefault="0002665D" w:rsidP="00026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65D" w:rsidRPr="0002665D" w:rsidRDefault="0002665D" w:rsidP="0002665D">
      <w:pPr>
        <w:shd w:val="clear" w:color="auto" w:fill="FFFFFF"/>
        <w:spacing w:before="180" w:after="60" w:line="240" w:lineRule="auto"/>
        <w:ind w:right="240"/>
        <w:outlineLvl w:val="3"/>
        <w:rPr>
          <w:rFonts w:ascii="Segoe UI" w:eastAsia="Times New Roman" w:hAnsi="Segoe UI" w:cs="Segoe UI"/>
          <w:caps/>
          <w:color w:val="111111"/>
          <w:sz w:val="24"/>
          <w:szCs w:val="24"/>
          <w:lang w:val="en-US" w:eastAsia="ru-RU"/>
        </w:rPr>
      </w:pPr>
      <w:r w:rsidRPr="0002665D">
        <w:rPr>
          <w:rFonts w:ascii="Segoe UI" w:eastAsia="Times New Roman" w:hAnsi="Segoe UI" w:cs="Segoe UI"/>
          <w:caps/>
          <w:color w:val="111111"/>
          <w:sz w:val="24"/>
          <w:szCs w:val="24"/>
          <w:lang w:eastAsia="ru-RU"/>
        </w:rPr>
        <w:t>АНОТАЦІЯ</w:t>
      </w: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</w:pP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Останніми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роками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велику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увагу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приділяють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питанням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діагностики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лікування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інфаркту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міокарда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(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ІМ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) 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без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обструктивного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атеросклерозу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коронарних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артерій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 xml:space="preserve"> (MINOCA). 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За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статистичними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даними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поширеність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MINOCA становить 6 — 8 %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від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усіх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випадків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ІМ.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Діагностичні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критерії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MINOCA: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наявність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критеріїв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ІМ,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відсутність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обструктивного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враження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коронарних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артерій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за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даними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коронароангіографії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(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зокрема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ангіографічний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стеноз &lt; 50 %) та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іншої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причини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розвитку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пошкодження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міокарда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Згідно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з консенсусом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American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Heart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Association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(2019),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діагностику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MINOCA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проводять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у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 три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етапи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На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першому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етапі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слід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повторно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проаналізувати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клінічну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ситуацію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для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заперечення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альтернативних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діагнозів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на другому —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оцінити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функціональний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резерв кровотоку,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заперечити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неішемічні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механізми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пошкодження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міокарда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за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допомогою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інструментальних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методів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досл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ідження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Третій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етап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передбачає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верифікацію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етіологічних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чинників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ІМ у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спеціалізованій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клініці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.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br/>
        <w:t xml:space="preserve">Наведено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клінічний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випадок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ІМ у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пацієнта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віком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26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років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Діагноз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ідтверджували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підвищений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рівень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тропоніну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зміни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на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електрокардіограмі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дані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ехокардіографічного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дослідження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та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магнітно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noBreakHyphen/>
        <w:t>резонансної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томографії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За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даними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коронароангіографії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виконаної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через 12 год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від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початку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захворювання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гемодинамічно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значущих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звужень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коронарних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артерій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не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відзначено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Лабораторний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аналіз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виявив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суттєве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збільшення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івня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гомоцистеїну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 — 69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мкмоль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/л (норма – &lt; 12,0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мкмоль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/л). </w:t>
      </w:r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урахуванням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обтяженої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спадковості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виникнення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ІМ в молодому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віці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відсутності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провокуючих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чинників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(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медичні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препарати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стрес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надмірне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фізичне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навантаження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травма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тощо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) і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захворювань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(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цукровий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діабет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системне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захворювання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сполучної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тканини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),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підвищеного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рівня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гомоцистеїну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роль тромбозу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найвірогідніша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Рекомендовано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консультацію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гематолога з метою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виявлення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спадкової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тромбофілії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як причини тромбозу (</w:t>
      </w:r>
      <w:proofErr w:type="spellStart"/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ід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час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прийому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антиагрегантної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/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антикоагулянтної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терапії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виконання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аналізів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та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їх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інтерпретація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некоректні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), а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також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прийом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інгібітора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ангіотензинперетворювального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ферменту,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клопідогреля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в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дозі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75 мг/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добу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рівароксабану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в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дозі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2,5 мг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двічі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на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добу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, β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noBreakHyphen/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адреноблокатора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статинів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. З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огляду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на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високий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р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івень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гомоцистеїну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рекомендовано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дієту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з 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вживанням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продуктів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багатих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на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фолієву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кислоту.</w:t>
      </w: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</w:pPr>
    </w:p>
    <w:p w:rsidR="0002665D" w:rsidRPr="0002665D" w:rsidRDefault="0002665D" w:rsidP="0002665D">
      <w:pPr>
        <w:shd w:val="clear" w:color="auto" w:fill="FFFFFF"/>
        <w:spacing w:before="180" w:after="60" w:line="240" w:lineRule="auto"/>
        <w:ind w:right="240"/>
        <w:outlineLvl w:val="3"/>
        <w:rPr>
          <w:rFonts w:ascii="Segoe UI" w:eastAsia="Times New Roman" w:hAnsi="Segoe UI" w:cs="Segoe UI"/>
          <w:caps/>
          <w:color w:val="111111"/>
          <w:sz w:val="24"/>
          <w:szCs w:val="24"/>
          <w:lang w:eastAsia="ru-RU"/>
        </w:rPr>
      </w:pPr>
      <w:r w:rsidRPr="0002665D">
        <w:rPr>
          <w:rFonts w:ascii="Segoe UI" w:eastAsia="Times New Roman" w:hAnsi="Segoe UI" w:cs="Segoe UI"/>
          <w:caps/>
          <w:color w:val="111111"/>
          <w:sz w:val="24"/>
          <w:szCs w:val="24"/>
          <w:lang w:eastAsia="ru-RU"/>
        </w:rPr>
        <w:t>КЛЮЧОВІ СЛОВА</w:t>
      </w: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</w:pP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</w:pP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інфаркт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міокарда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; атеросклероз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коронарних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артерій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; тромбоз; спазм;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діагностика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;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лікування</w:t>
      </w:r>
      <w:proofErr w:type="spellEnd"/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</w:pPr>
    </w:p>
    <w:p w:rsidR="0002665D" w:rsidRPr="0002665D" w:rsidRDefault="0002665D" w:rsidP="0002665D">
      <w:pPr>
        <w:shd w:val="clear" w:color="auto" w:fill="FFFFFF"/>
        <w:spacing w:before="180" w:after="60" w:line="240" w:lineRule="auto"/>
        <w:ind w:right="240"/>
        <w:outlineLvl w:val="3"/>
        <w:rPr>
          <w:rFonts w:ascii="Segoe UI" w:eastAsia="Times New Roman" w:hAnsi="Segoe UI" w:cs="Segoe UI"/>
          <w:caps/>
          <w:color w:val="111111"/>
          <w:sz w:val="24"/>
          <w:szCs w:val="24"/>
          <w:lang w:eastAsia="ru-RU"/>
        </w:rPr>
      </w:pPr>
      <w:r w:rsidRPr="0002665D">
        <w:rPr>
          <w:rFonts w:ascii="Segoe UI" w:eastAsia="Times New Roman" w:hAnsi="Segoe UI" w:cs="Segoe UI"/>
          <w:caps/>
          <w:color w:val="111111"/>
          <w:sz w:val="24"/>
          <w:szCs w:val="24"/>
          <w:lang w:eastAsia="ru-RU"/>
        </w:rPr>
        <w:t>ПОВНИЙ ТЕКСТ:</w:t>
      </w: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</w:pPr>
      <w:hyperlink r:id="rId5" w:tgtFrame="_parent" w:history="1">
        <w:r w:rsidRPr="0002665D">
          <w:rPr>
            <w:rFonts w:ascii="Segoe UI" w:eastAsia="Times New Roman" w:hAnsi="Segoe UI" w:cs="Segoe UI"/>
            <w:caps/>
            <w:color w:val="95000C"/>
            <w:sz w:val="16"/>
            <w:szCs w:val="16"/>
            <w:lang w:eastAsia="ru-RU"/>
          </w:rPr>
          <w:t>PDF</w:t>
        </w:r>
      </w:hyperlink>
    </w:p>
    <w:p w:rsidR="0002665D" w:rsidRPr="0002665D" w:rsidRDefault="0002665D" w:rsidP="0002665D">
      <w:pPr>
        <w:shd w:val="clear" w:color="auto" w:fill="FFFFFF"/>
        <w:spacing w:before="180" w:after="60" w:line="240" w:lineRule="auto"/>
        <w:ind w:right="240"/>
        <w:outlineLvl w:val="3"/>
        <w:rPr>
          <w:rFonts w:ascii="Segoe UI" w:eastAsia="Times New Roman" w:hAnsi="Segoe UI" w:cs="Segoe UI"/>
          <w:caps/>
          <w:color w:val="111111"/>
          <w:sz w:val="24"/>
          <w:szCs w:val="24"/>
          <w:lang w:eastAsia="ru-RU"/>
        </w:rPr>
      </w:pPr>
      <w:r w:rsidRPr="0002665D">
        <w:rPr>
          <w:rFonts w:ascii="Segoe UI" w:eastAsia="Times New Roman" w:hAnsi="Segoe UI" w:cs="Segoe UI"/>
          <w:caps/>
          <w:color w:val="111111"/>
          <w:sz w:val="24"/>
          <w:szCs w:val="24"/>
          <w:lang w:eastAsia="ru-RU"/>
        </w:rPr>
        <w:t>ПОСИЛАННЯ</w:t>
      </w: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</w:pP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Agewall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S,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Beltrame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JF,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Reynolds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HR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et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>al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t xml:space="preserve">. 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ESC working group position paper on myocardial infarction with non-obstructive coronary arteries. Eur Heart J. 2017;Vol. 38 (3):143-153.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Arora S, Strassle PD, Qamar A et al. Impact of type 2 myocardial infarction on hospital-level mi outcomes: implications for quality and public reporting. J Am Heart Assos. 2018;Vol. 7. e008661.doi:10.1161/JAHA.118.008661.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Chapman AR, Shah AS.V., Lee KK et al. Long term outcomes in patients with type 2 myocardial infarction and myocardial injury. Circulation. 2018;Vol. 137:1236-1245.doi:10.11136/heartjnl-2016-309890.113.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lastRenderedPageBreak/>
        <w:t>Eleid MF, Tweet MS, Young PM et al. Spontaneus coronary artery dissection: challenges of coronary computed tomography angiography. Eur Heart J Acute Cardiovasc Care. 2017;Vol. 7 (7):609-613.doi:10.1177/2048872616687098.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Gupta S, Vaidya SR, Arora S et al. Type 2 versus type 1 myocardial infarction: a comparison of clinical characteristics and outcomes with a meta-analysis of observational studies. Cardiovasc Diagn Ther. 2017;Vol. 7:348-358.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Jolly SS, James S, Dzavik V et al. Thrombus aspiration in ST-segment-elevation myocardial infarction: an individual patient meta-analysis. Circulation. 2017;Vol. 135 (2):143-152.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Lindahl B, Baron T, Erlinge D et al. Medical therapy for secondary prevention and longterm outcome in patients with myocardial infarction with nonobstructive coronary artery disease. Circulation. 2017;Vol. 135:1481-1489.doi:10.1161/CIRCULATIONAHA.116.026336.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Raphael CE, Heit JA, Reeder GS et al. Coronary embolus an underappreciated cause of acute coronary syndromes. JACC Cardiovasc Interv. 2018;Vol. 11 (2):172-180.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Scalone G, Niccoli G, Crea F. Pathophysiology, diagnosis and management of MINOCA: an update. Eur Heart J Acute Cardiovasc Care. 2019;Vol. 8 (1):54-62.doi:10.1177/2048872618782414.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Tamis-Holland JE, Jneid H, Reynolds HR et al. Contemporary diagnosis and management of patients with myocardial infarction in the absence of obstructive coronary artery disease. A scientific statement from the American Heart Association. Circulation. 2019;139:00-00 doi:10.1161/CIR.0000000000000670.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Thygesen K, Alpert JS, White HD.; Joint ESC/ACC/AHA/WHF Task Force for the Redefinition of Myocardial Infarction. Universl definition of myocardial infarction. Eur Heart J. 2007;Vol. 28:2525-2538.</w:t>
      </w:r>
    </w:p>
    <w:p w:rsidR="0002665D" w:rsidRPr="0002665D" w:rsidRDefault="0002665D" w:rsidP="0002665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t>Thygesen K, Alpert JS, Jaffe AS et al. ESC Scientific Document Group; Fourth universal definition of myocardial infarction. Eur Heart J. 2018;Vol. 40, Iss. 3:237-269 URL: https://doi.org/10.1093/eurheartj/ehy462.</w:t>
      </w:r>
    </w:p>
    <w:p w:rsidR="0002665D" w:rsidRPr="0002665D" w:rsidRDefault="0002665D" w:rsidP="000266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</w:pPr>
    </w:p>
    <w:p w:rsidR="00371A3D" w:rsidRDefault="0002665D" w:rsidP="0002665D"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br/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val="en-US" w:eastAsia="ru-RU"/>
        </w:rPr>
        <w:br/>
      </w:r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 xml:space="preserve">©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>Серце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 xml:space="preserve"> і </w:t>
      </w:r>
      <w:proofErr w:type="spellStart"/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>судини</w:t>
      </w:r>
      <w:proofErr w:type="spellEnd"/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>, 2020</w:t>
      </w:r>
      <w:r w:rsidRPr="0002665D">
        <w:rPr>
          <w:rFonts w:ascii="Segoe UI" w:eastAsia="Times New Roman" w:hAnsi="Segoe UI" w:cs="Segoe UI"/>
          <w:color w:val="111111"/>
          <w:sz w:val="19"/>
          <w:szCs w:val="19"/>
          <w:lang w:eastAsia="ru-RU"/>
        </w:rPr>
        <w:br/>
      </w:r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 xml:space="preserve">© </w:t>
      </w:r>
      <w:proofErr w:type="gramStart"/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>ТОВ</w:t>
      </w:r>
      <w:proofErr w:type="gramEnd"/>
      <w:r w:rsidRPr="0002665D">
        <w:rPr>
          <w:rFonts w:ascii="Segoe UI" w:eastAsia="Times New Roman" w:hAnsi="Segoe UI" w:cs="Segoe UI"/>
          <w:color w:val="111111"/>
          <w:sz w:val="19"/>
          <w:szCs w:val="19"/>
          <w:shd w:val="clear" w:color="auto" w:fill="FFFFFF"/>
          <w:lang w:eastAsia="ru-RU"/>
        </w:rPr>
        <w:t xml:space="preserve"> «ВІТ-А-ПОЛ», 2020</w:t>
      </w:r>
      <w:bookmarkStart w:id="0" w:name="_GoBack"/>
      <w:bookmarkEnd w:id="0"/>
    </w:p>
    <w:sectPr w:rsidR="0037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F"/>
    <w:rsid w:val="0002665D"/>
    <w:rsid w:val="0018438F"/>
    <w:rsid w:val="003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66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66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2665D"/>
    <w:rPr>
      <w:i/>
      <w:iCs/>
    </w:rPr>
  </w:style>
  <w:style w:type="paragraph" w:styleId="a4">
    <w:name w:val="Normal (Web)"/>
    <w:basedOn w:val="a"/>
    <w:uiPriority w:val="99"/>
    <w:semiHidden/>
    <w:unhideWhenUsed/>
    <w:rsid w:val="0002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6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66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66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2665D"/>
    <w:rPr>
      <w:i/>
      <w:iCs/>
    </w:rPr>
  </w:style>
  <w:style w:type="paragraph" w:styleId="a4">
    <w:name w:val="Normal (Web)"/>
    <w:basedOn w:val="a"/>
    <w:uiPriority w:val="99"/>
    <w:semiHidden/>
    <w:unhideWhenUsed/>
    <w:rsid w:val="0002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artandvessels.com.ua/article/view/HV2019-3-60/183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Company>diakov.net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2020-10-29T07:16:00Z</dcterms:created>
  <dcterms:modified xsi:type="dcterms:W3CDTF">2020-10-29T07:16:00Z</dcterms:modified>
</cp:coreProperties>
</file>